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76246" w:rsidRPr="00BC3E16" w:rsidRDefault="00BC3E16">
      <w:pPr>
        <w:keepNext/>
        <w:spacing w:before="120" w:after="40" w:line="247" w:lineRule="auto"/>
        <w:jc w:val="center"/>
        <w:rPr>
          <w:sz w:val="24"/>
          <w:szCs w:val="24"/>
        </w:rPr>
      </w:pPr>
      <w:r w:rsidRPr="00BC3E16">
        <w:rPr>
          <w:rFonts w:eastAsia="Arial"/>
          <w:b/>
          <w:sz w:val="24"/>
          <w:szCs w:val="24"/>
        </w:rPr>
        <w:t>TERMO DE REFERÊNCIA – TR</w:t>
      </w:r>
    </w:p>
    <w:p w:rsidR="00276246" w:rsidRPr="00BC3E16" w:rsidRDefault="00BC3E16">
      <w:pPr>
        <w:spacing w:after="40" w:line="247" w:lineRule="auto"/>
        <w:jc w:val="center"/>
        <w:rPr>
          <w:sz w:val="24"/>
          <w:szCs w:val="24"/>
        </w:rPr>
      </w:pPr>
      <w:r w:rsidRPr="00BC3E16">
        <w:rPr>
          <w:rFonts w:eastAsia="Arial"/>
          <w:i/>
          <w:sz w:val="24"/>
          <w:szCs w:val="24"/>
        </w:rPr>
        <w:t>Lei Federal nº 14.133/2021</w:t>
      </w:r>
    </w:p>
    <w:p w:rsidR="00276246" w:rsidRPr="00BC3E16" w:rsidRDefault="00BC3E16">
      <w:pPr>
        <w:keepNext/>
        <w:spacing w:before="160" w:after="40" w:line="247" w:lineRule="auto"/>
        <w:rPr>
          <w:sz w:val="24"/>
          <w:szCs w:val="24"/>
        </w:rPr>
      </w:pPr>
      <w:r w:rsidRPr="00BC3E16">
        <w:rPr>
          <w:rFonts w:eastAsia="Arial"/>
          <w:b/>
          <w:sz w:val="24"/>
          <w:szCs w:val="24"/>
        </w:rPr>
        <w:t>1. OBJETO</w:t>
      </w:r>
    </w:p>
    <w:p w:rsidR="00276246" w:rsidRPr="00BC3E16" w:rsidRDefault="00BC3E16">
      <w:pPr>
        <w:spacing w:after="40" w:line="247" w:lineRule="auto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 xml:space="preserve">Contratação de empresa especializada para prestação de serviços técnicos de engenharia destinados à elaboração completa de projetos de pavimentação asfáltica de vias urbanas e estradas </w:t>
      </w:r>
      <w:r w:rsidRPr="00BC3E16">
        <w:rPr>
          <w:rFonts w:eastAsia="Arial"/>
          <w:sz w:val="24"/>
          <w:szCs w:val="24"/>
        </w:rPr>
        <w:t>vicinais do Município de Muliterno/RS, conforme o Estudo Técnico Preliminar e as condições deste Termo de Referência.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774"/>
        <w:gridCol w:w="6791"/>
      </w:tblGrid>
      <w:tr w:rsidR="00276246" w:rsidRPr="00BC3E16" w:rsidTr="00BC3E16">
        <w:trPr>
          <w:jc w:val="center"/>
        </w:trPr>
        <w:tc>
          <w:tcPr>
            <w:tcW w:w="27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C3E16">
              <w:rPr>
                <w:rFonts w:eastAsia="Arial"/>
                <w:b/>
                <w:sz w:val="24"/>
                <w:szCs w:val="24"/>
              </w:rPr>
              <w:t>Natureza</w:t>
            </w:r>
            <w:proofErr w:type="spellEnd"/>
            <w:r w:rsidRPr="00BC3E16">
              <w:rPr>
                <w:rFonts w:eastAsia="Arial"/>
                <w:b/>
                <w:sz w:val="24"/>
                <w:szCs w:val="24"/>
              </w:rPr>
              <w:t xml:space="preserve"> do </w:t>
            </w:r>
            <w:proofErr w:type="spellStart"/>
            <w:r w:rsidRPr="00BC3E16">
              <w:rPr>
                <w:rFonts w:eastAsia="Arial"/>
                <w:b/>
                <w:sz w:val="24"/>
                <w:szCs w:val="24"/>
              </w:rPr>
              <w:t>objeto</w:t>
            </w:r>
            <w:proofErr w:type="spellEnd"/>
          </w:p>
        </w:tc>
        <w:tc>
          <w:tcPr>
            <w:tcW w:w="679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>Serviços técnicos especializados de engenharia, de natureza predominantemente intelectual</w:t>
            </w:r>
          </w:p>
        </w:tc>
      </w:tr>
      <w:tr w:rsidR="00276246" w:rsidRPr="00BC3E16" w:rsidTr="00BC3E16">
        <w:trPr>
          <w:jc w:val="center"/>
        </w:trPr>
        <w:tc>
          <w:tcPr>
            <w:tcW w:w="27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rPr>
                <w:sz w:val="24"/>
                <w:szCs w:val="24"/>
              </w:rPr>
            </w:pPr>
            <w:r w:rsidRPr="00BC3E16">
              <w:rPr>
                <w:rFonts w:eastAsia="Arial"/>
                <w:b/>
                <w:sz w:val="24"/>
                <w:szCs w:val="24"/>
              </w:rPr>
              <w:t>Forma de execução</w:t>
            </w:r>
          </w:p>
        </w:tc>
        <w:tc>
          <w:tcPr>
            <w:tcW w:w="679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 xml:space="preserve">Prestação </w:t>
            </w:r>
            <w:r w:rsidRPr="00BC3E16">
              <w:rPr>
                <w:rFonts w:eastAsia="Arial"/>
                <w:sz w:val="24"/>
                <w:szCs w:val="24"/>
              </w:rPr>
              <w:t>integrada, por preço global</w:t>
            </w:r>
          </w:p>
        </w:tc>
      </w:tr>
      <w:tr w:rsidR="00276246" w:rsidRPr="00BC3E16" w:rsidTr="00BC3E16">
        <w:trPr>
          <w:jc w:val="center"/>
        </w:trPr>
        <w:tc>
          <w:tcPr>
            <w:tcW w:w="27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rPr>
                <w:sz w:val="24"/>
                <w:szCs w:val="24"/>
              </w:rPr>
            </w:pPr>
            <w:r w:rsidRPr="00BC3E16">
              <w:rPr>
                <w:rFonts w:eastAsia="Arial"/>
                <w:b/>
                <w:sz w:val="24"/>
                <w:szCs w:val="24"/>
              </w:rPr>
              <w:t>Critério de seleção</w:t>
            </w:r>
          </w:p>
        </w:tc>
        <w:tc>
          <w:tcPr>
            <w:tcW w:w="679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 xml:space="preserve">Menor preço global, observada </w:t>
            </w:r>
            <w:proofErr w:type="gramStart"/>
            <w:r w:rsidRPr="00BC3E16">
              <w:rPr>
                <w:rFonts w:eastAsia="Arial"/>
                <w:sz w:val="24"/>
                <w:szCs w:val="24"/>
              </w:rPr>
              <w:t>a forma</w:t>
            </w:r>
            <w:proofErr w:type="gramEnd"/>
            <w:r w:rsidRPr="00BC3E16">
              <w:rPr>
                <w:rFonts w:eastAsia="Arial"/>
                <w:sz w:val="24"/>
                <w:szCs w:val="24"/>
              </w:rPr>
              <w:t xml:space="preserve"> de contratação legalmente cabível</w:t>
            </w:r>
          </w:p>
        </w:tc>
      </w:tr>
      <w:tr w:rsidR="00276246" w:rsidRPr="00BC3E16" w:rsidTr="00BC3E16">
        <w:trPr>
          <w:jc w:val="center"/>
        </w:trPr>
        <w:tc>
          <w:tcPr>
            <w:tcW w:w="27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rPr>
                <w:sz w:val="24"/>
                <w:szCs w:val="24"/>
              </w:rPr>
            </w:pPr>
            <w:r w:rsidRPr="00BC3E16">
              <w:rPr>
                <w:rFonts w:eastAsia="Arial"/>
                <w:b/>
                <w:sz w:val="24"/>
                <w:szCs w:val="24"/>
              </w:rPr>
              <w:t>Quantidade</w:t>
            </w:r>
          </w:p>
        </w:tc>
        <w:tc>
          <w:tcPr>
            <w:tcW w:w="679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>01 contratação, abrangendo aproximadamente 40.130 m²</w:t>
            </w:r>
          </w:p>
        </w:tc>
      </w:tr>
      <w:tr w:rsidR="00276246" w:rsidRPr="00BC3E16" w:rsidTr="00BC3E16">
        <w:trPr>
          <w:jc w:val="center"/>
        </w:trPr>
        <w:tc>
          <w:tcPr>
            <w:tcW w:w="27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rPr>
                <w:sz w:val="24"/>
                <w:szCs w:val="24"/>
              </w:rPr>
            </w:pPr>
            <w:r w:rsidRPr="00BC3E16">
              <w:rPr>
                <w:rFonts w:eastAsia="Arial"/>
                <w:b/>
                <w:sz w:val="24"/>
                <w:szCs w:val="24"/>
              </w:rPr>
              <w:t>Extensão estimada</w:t>
            </w:r>
          </w:p>
        </w:tc>
        <w:tc>
          <w:tcPr>
            <w:tcW w:w="679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 xml:space="preserve">4.860 m, sendo 470 m de vias urbanas e 4.390 m de </w:t>
            </w:r>
            <w:r w:rsidRPr="00BC3E16">
              <w:rPr>
                <w:rFonts w:eastAsia="Arial"/>
                <w:sz w:val="24"/>
                <w:szCs w:val="24"/>
              </w:rPr>
              <w:t>estradas vicinais</w:t>
            </w:r>
          </w:p>
        </w:tc>
      </w:tr>
      <w:tr w:rsidR="00276246" w:rsidRPr="00BC3E16" w:rsidTr="00BC3E16">
        <w:trPr>
          <w:jc w:val="center"/>
        </w:trPr>
        <w:tc>
          <w:tcPr>
            <w:tcW w:w="27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rPr>
                <w:sz w:val="24"/>
                <w:szCs w:val="24"/>
              </w:rPr>
            </w:pPr>
            <w:r w:rsidRPr="00BC3E16">
              <w:rPr>
                <w:rFonts w:eastAsia="Arial"/>
                <w:b/>
                <w:sz w:val="24"/>
                <w:szCs w:val="24"/>
              </w:rPr>
              <w:t>Local de execução</w:t>
            </w:r>
          </w:p>
        </w:tc>
        <w:tc>
          <w:tcPr>
            <w:tcW w:w="679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>Município de Muliterno/RS, nas vias indicadas neste TR e no ETP</w:t>
            </w:r>
          </w:p>
        </w:tc>
      </w:tr>
    </w:tbl>
    <w:p w:rsidR="00276246" w:rsidRPr="00BC3E16" w:rsidRDefault="00BC3E16">
      <w:pPr>
        <w:keepNext/>
        <w:spacing w:before="160" w:after="40" w:line="247" w:lineRule="auto"/>
        <w:rPr>
          <w:sz w:val="24"/>
          <w:szCs w:val="24"/>
        </w:rPr>
      </w:pPr>
      <w:r w:rsidRPr="00BC3E16">
        <w:rPr>
          <w:rFonts w:eastAsia="Arial"/>
          <w:b/>
          <w:sz w:val="24"/>
          <w:szCs w:val="24"/>
        </w:rPr>
        <w:t>2. FUNDAMENTAÇÃO E JUSTIFICATIVA DA CONTRATAÇÃO</w:t>
      </w:r>
    </w:p>
    <w:p w:rsidR="00276246" w:rsidRPr="00BC3E16" w:rsidRDefault="00BC3E16">
      <w:pPr>
        <w:spacing w:after="40" w:line="247" w:lineRule="auto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A contratação decorre da necessidade de o Município dispor de projetos técnicos completos para planejar, o</w:t>
      </w:r>
      <w:r w:rsidRPr="00BC3E16">
        <w:rPr>
          <w:rFonts w:eastAsia="Arial"/>
          <w:sz w:val="24"/>
          <w:szCs w:val="24"/>
        </w:rPr>
        <w:t xml:space="preserve">rçar e licitar futuras obras de pavimentação. Os projetos são indispensáveis para </w:t>
      </w:r>
      <w:proofErr w:type="gramStart"/>
      <w:r w:rsidRPr="00BC3E16">
        <w:rPr>
          <w:rFonts w:eastAsia="Arial"/>
          <w:sz w:val="24"/>
          <w:szCs w:val="24"/>
        </w:rPr>
        <w:t>a</w:t>
      </w:r>
      <w:proofErr w:type="gramEnd"/>
      <w:r w:rsidRPr="00BC3E16">
        <w:rPr>
          <w:rFonts w:eastAsia="Arial"/>
          <w:sz w:val="24"/>
          <w:szCs w:val="24"/>
        </w:rPr>
        <w:t xml:space="preserve"> adequada instrução dos processos de contratação e para a utilização de recursos provenientes de convênios, programas e financiamentos.</w:t>
      </w:r>
    </w:p>
    <w:p w:rsidR="00276246" w:rsidRPr="00BC3E16" w:rsidRDefault="00BC3E16">
      <w:pPr>
        <w:spacing w:after="40" w:line="247" w:lineRule="auto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O Município possui convênios e instru</w:t>
      </w:r>
      <w:r w:rsidRPr="00BC3E16">
        <w:rPr>
          <w:rFonts w:eastAsia="Arial"/>
          <w:sz w:val="24"/>
          <w:szCs w:val="24"/>
        </w:rPr>
        <w:t>mentos de repasse que demandam projetos de engenharia previamente elaborados para posterior licitação das obras, inclusive no âmbito do Programa PAVIMENTA RS. Também foi firmado contrato de financiamento com o BRDE para realização de investimentos municipa</w:t>
      </w:r>
      <w:r w:rsidRPr="00BC3E16">
        <w:rPr>
          <w:rFonts w:eastAsia="Arial"/>
          <w:sz w:val="24"/>
          <w:szCs w:val="24"/>
        </w:rPr>
        <w:t>is, reforçando a necessidade de documentação técnica adequada para definição, orçamento e contratação das intervenções.</w:t>
      </w:r>
    </w:p>
    <w:p w:rsidR="00276246" w:rsidRPr="00BC3E16" w:rsidRDefault="00BC3E16">
      <w:pPr>
        <w:spacing w:after="40" w:line="247" w:lineRule="auto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A solução e seus quantitativos decorrem do Estudo Técnico Preliminar, que concluiu pela viabilidade e pela maior eficiência da contrataç</w:t>
      </w:r>
      <w:r w:rsidRPr="00BC3E16">
        <w:rPr>
          <w:rFonts w:eastAsia="Arial"/>
          <w:sz w:val="24"/>
          <w:szCs w:val="24"/>
        </w:rPr>
        <w:t>ão de empresa especializada.</w:t>
      </w:r>
    </w:p>
    <w:p w:rsidR="00276246" w:rsidRPr="00BC3E16" w:rsidRDefault="00BC3E16">
      <w:pPr>
        <w:keepNext/>
        <w:spacing w:before="160" w:after="40" w:line="247" w:lineRule="auto"/>
        <w:rPr>
          <w:sz w:val="24"/>
          <w:szCs w:val="24"/>
        </w:rPr>
      </w:pPr>
      <w:r w:rsidRPr="00BC3E16">
        <w:rPr>
          <w:rFonts w:eastAsia="Arial"/>
          <w:b/>
          <w:sz w:val="24"/>
          <w:szCs w:val="24"/>
        </w:rPr>
        <w:t>3. DESCRIÇÃO DA SOLUÇÃO</w:t>
      </w:r>
    </w:p>
    <w:p w:rsidR="00276246" w:rsidRPr="00BC3E16" w:rsidRDefault="00BC3E16">
      <w:pPr>
        <w:spacing w:after="40" w:line="247" w:lineRule="auto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A solução consiste na elaboração integrada de todos os levantamentos, estudos, peças gráficas, memoriais, orçamentos e documentos de responsabilidade técnica necessários à futura licitação e execução das</w:t>
      </w:r>
      <w:r w:rsidRPr="00BC3E16">
        <w:rPr>
          <w:rFonts w:eastAsia="Arial"/>
          <w:sz w:val="24"/>
          <w:szCs w:val="24"/>
        </w:rPr>
        <w:t xml:space="preserve"> obras de pavimentação asfáltica.</w:t>
      </w:r>
    </w:p>
    <w:p w:rsidR="00276246" w:rsidRPr="00BC3E16" w:rsidRDefault="00BC3E16">
      <w:pPr>
        <w:spacing w:after="40" w:line="247" w:lineRule="auto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 xml:space="preserve">A contratação será realizada em conjunto, sem parcelamento, em razão da interdependência técnica entre os projetos, levantamentos, memórias de cálculo, orçamento, sinalização e demais documentos, de modo </w:t>
      </w:r>
      <w:proofErr w:type="gramStart"/>
      <w:r w:rsidRPr="00BC3E16">
        <w:rPr>
          <w:rFonts w:eastAsia="Arial"/>
          <w:sz w:val="24"/>
          <w:szCs w:val="24"/>
        </w:rPr>
        <w:t>a</w:t>
      </w:r>
      <w:proofErr w:type="gramEnd"/>
      <w:r w:rsidRPr="00BC3E16">
        <w:rPr>
          <w:rFonts w:eastAsia="Arial"/>
          <w:sz w:val="24"/>
          <w:szCs w:val="24"/>
        </w:rPr>
        <w:t xml:space="preserve"> assegurar compat</w:t>
      </w:r>
      <w:r w:rsidRPr="00BC3E16">
        <w:rPr>
          <w:rFonts w:eastAsia="Arial"/>
          <w:sz w:val="24"/>
          <w:szCs w:val="24"/>
        </w:rPr>
        <w:t>ibilidade e responsabilidade técnica definida.</w:t>
      </w:r>
    </w:p>
    <w:p w:rsidR="00276246" w:rsidRPr="00BC3E16" w:rsidRDefault="00BC3E16">
      <w:pPr>
        <w:keepNext/>
        <w:spacing w:before="160" w:after="40" w:line="247" w:lineRule="auto"/>
        <w:rPr>
          <w:sz w:val="24"/>
          <w:szCs w:val="24"/>
        </w:rPr>
      </w:pPr>
      <w:r w:rsidRPr="00BC3E16">
        <w:rPr>
          <w:rFonts w:eastAsia="Arial"/>
          <w:b/>
          <w:sz w:val="24"/>
          <w:szCs w:val="24"/>
        </w:rPr>
        <w:lastRenderedPageBreak/>
        <w:t>4. VIAS E QUANTITATIVOS ESTIMADOS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356"/>
        <w:gridCol w:w="5020"/>
        <w:gridCol w:w="3189"/>
      </w:tblGrid>
      <w:tr w:rsidR="00276246" w:rsidRPr="00BC3E16" w:rsidTr="00BC3E16">
        <w:trPr>
          <w:tblHeader/>
          <w:jc w:val="center"/>
        </w:trPr>
        <w:tc>
          <w:tcPr>
            <w:tcW w:w="1356" w:type="dxa"/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76246" w:rsidRPr="00BC3E16" w:rsidRDefault="00BC3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3E16">
              <w:rPr>
                <w:rFonts w:eastAsia="Arial"/>
                <w:b/>
                <w:sz w:val="24"/>
                <w:szCs w:val="24"/>
              </w:rPr>
              <w:t>Item</w:t>
            </w:r>
          </w:p>
        </w:tc>
        <w:tc>
          <w:tcPr>
            <w:tcW w:w="5020" w:type="dxa"/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76246" w:rsidRPr="00BC3E16" w:rsidRDefault="00BC3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3E16">
              <w:rPr>
                <w:rFonts w:eastAsia="Arial"/>
                <w:b/>
                <w:sz w:val="24"/>
                <w:szCs w:val="24"/>
              </w:rPr>
              <w:t>Local</w:t>
            </w:r>
          </w:p>
        </w:tc>
        <w:tc>
          <w:tcPr>
            <w:tcW w:w="3189" w:type="dxa"/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76246" w:rsidRPr="00BC3E16" w:rsidRDefault="00BC3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3E16">
              <w:rPr>
                <w:rFonts w:eastAsia="Arial"/>
                <w:b/>
                <w:sz w:val="24"/>
                <w:szCs w:val="24"/>
              </w:rPr>
              <w:t>Extensão</w:t>
            </w:r>
          </w:p>
        </w:tc>
      </w:tr>
      <w:tr w:rsidR="00276246" w:rsidRPr="00BC3E16" w:rsidTr="00BC3E16">
        <w:trPr>
          <w:jc w:val="center"/>
        </w:trPr>
        <w:tc>
          <w:tcPr>
            <w:tcW w:w="135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>1</w:t>
            </w:r>
          </w:p>
        </w:tc>
        <w:tc>
          <w:tcPr>
            <w:tcW w:w="502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>Acesso à Comunidade Canhada Funda</w:t>
            </w:r>
          </w:p>
        </w:tc>
        <w:tc>
          <w:tcPr>
            <w:tcW w:w="318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>1.250 m</w:t>
            </w:r>
          </w:p>
        </w:tc>
      </w:tr>
      <w:tr w:rsidR="00276246" w:rsidRPr="00BC3E16" w:rsidTr="00BC3E16">
        <w:trPr>
          <w:jc w:val="center"/>
        </w:trPr>
        <w:tc>
          <w:tcPr>
            <w:tcW w:w="135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>2</w:t>
            </w:r>
          </w:p>
        </w:tc>
        <w:tc>
          <w:tcPr>
            <w:tcW w:w="502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>Acesso à Comunidade Santa Lúcia</w:t>
            </w:r>
          </w:p>
        </w:tc>
        <w:tc>
          <w:tcPr>
            <w:tcW w:w="318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>1.650 m</w:t>
            </w:r>
          </w:p>
        </w:tc>
      </w:tr>
      <w:tr w:rsidR="00276246" w:rsidRPr="00BC3E16" w:rsidTr="00BC3E16">
        <w:trPr>
          <w:jc w:val="center"/>
        </w:trPr>
        <w:tc>
          <w:tcPr>
            <w:tcW w:w="135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>3</w:t>
            </w:r>
          </w:p>
        </w:tc>
        <w:tc>
          <w:tcPr>
            <w:tcW w:w="502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>Saída para Ibiraiaras – prolongamento</w:t>
            </w:r>
          </w:p>
        </w:tc>
        <w:tc>
          <w:tcPr>
            <w:tcW w:w="318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>250 m</w:t>
            </w:r>
          </w:p>
        </w:tc>
      </w:tr>
      <w:tr w:rsidR="00276246" w:rsidRPr="00BC3E16" w:rsidTr="00BC3E16">
        <w:trPr>
          <w:jc w:val="center"/>
        </w:trPr>
        <w:tc>
          <w:tcPr>
            <w:tcW w:w="135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>4</w:t>
            </w:r>
          </w:p>
        </w:tc>
        <w:tc>
          <w:tcPr>
            <w:tcW w:w="502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 xml:space="preserve">Acesso à </w:t>
            </w:r>
            <w:r w:rsidRPr="00BC3E16">
              <w:rPr>
                <w:rFonts w:eastAsia="Arial"/>
                <w:sz w:val="24"/>
                <w:szCs w:val="24"/>
              </w:rPr>
              <w:t>Comunidade São Pedro</w:t>
            </w:r>
          </w:p>
        </w:tc>
        <w:tc>
          <w:tcPr>
            <w:tcW w:w="318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>1.240 m</w:t>
            </w:r>
          </w:p>
        </w:tc>
      </w:tr>
      <w:tr w:rsidR="00276246" w:rsidRPr="00BC3E16" w:rsidTr="00BC3E16">
        <w:trPr>
          <w:jc w:val="center"/>
        </w:trPr>
        <w:tc>
          <w:tcPr>
            <w:tcW w:w="135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>5</w:t>
            </w:r>
          </w:p>
        </w:tc>
        <w:tc>
          <w:tcPr>
            <w:tcW w:w="502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>Rua Projetada “C”</w:t>
            </w:r>
          </w:p>
        </w:tc>
        <w:tc>
          <w:tcPr>
            <w:tcW w:w="318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>50 m</w:t>
            </w:r>
          </w:p>
        </w:tc>
      </w:tr>
      <w:tr w:rsidR="00276246" w:rsidRPr="00BC3E16" w:rsidTr="00BC3E16">
        <w:trPr>
          <w:jc w:val="center"/>
        </w:trPr>
        <w:tc>
          <w:tcPr>
            <w:tcW w:w="135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>6</w:t>
            </w:r>
          </w:p>
        </w:tc>
        <w:tc>
          <w:tcPr>
            <w:tcW w:w="502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>Rua Vitório Pi</w:t>
            </w:r>
            <w:bookmarkStart w:id="0" w:name="_GoBack"/>
            <w:bookmarkEnd w:id="0"/>
            <w:r w:rsidRPr="00BC3E16">
              <w:rPr>
                <w:rFonts w:eastAsia="Arial"/>
                <w:sz w:val="24"/>
                <w:szCs w:val="24"/>
              </w:rPr>
              <w:t>tton, no acesso à Comunidade Nossa Senhora das Graças</w:t>
            </w:r>
          </w:p>
        </w:tc>
        <w:tc>
          <w:tcPr>
            <w:tcW w:w="318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>100 m</w:t>
            </w:r>
          </w:p>
        </w:tc>
      </w:tr>
      <w:tr w:rsidR="00276246" w:rsidRPr="00BC3E16" w:rsidTr="00BC3E16">
        <w:trPr>
          <w:jc w:val="center"/>
        </w:trPr>
        <w:tc>
          <w:tcPr>
            <w:tcW w:w="135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>7</w:t>
            </w:r>
          </w:p>
        </w:tc>
        <w:tc>
          <w:tcPr>
            <w:tcW w:w="502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>Rua João Domingos Rugini, entre Av. Santos Dumont e Av. Genoino Antonio Astolfi</w:t>
            </w:r>
          </w:p>
        </w:tc>
        <w:tc>
          <w:tcPr>
            <w:tcW w:w="318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>100 m</w:t>
            </w:r>
          </w:p>
        </w:tc>
      </w:tr>
      <w:tr w:rsidR="00276246" w:rsidRPr="00BC3E16" w:rsidTr="00BC3E16">
        <w:trPr>
          <w:jc w:val="center"/>
        </w:trPr>
        <w:tc>
          <w:tcPr>
            <w:tcW w:w="135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>8</w:t>
            </w:r>
          </w:p>
        </w:tc>
        <w:tc>
          <w:tcPr>
            <w:tcW w:w="502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 xml:space="preserve">Rua Dona Guilhermina, entre Rua </w:t>
            </w:r>
            <w:r w:rsidRPr="00BC3E16">
              <w:rPr>
                <w:rFonts w:eastAsia="Arial"/>
                <w:sz w:val="24"/>
                <w:szCs w:val="24"/>
              </w:rPr>
              <w:t>Vinte de Março e Rua Rafael Leonardo Previatti</w:t>
            </w:r>
          </w:p>
        </w:tc>
        <w:tc>
          <w:tcPr>
            <w:tcW w:w="318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>120 m</w:t>
            </w:r>
          </w:p>
        </w:tc>
      </w:tr>
      <w:tr w:rsidR="00276246" w:rsidRPr="00BC3E16" w:rsidTr="00BC3E16">
        <w:trPr>
          <w:jc w:val="center"/>
        </w:trPr>
        <w:tc>
          <w:tcPr>
            <w:tcW w:w="135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>9</w:t>
            </w:r>
          </w:p>
        </w:tc>
        <w:tc>
          <w:tcPr>
            <w:tcW w:w="502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>Rua Dona Guilhermina, entre Rua Reinaldo Demicheli e Rua Germano Lanzarini</w:t>
            </w:r>
          </w:p>
        </w:tc>
        <w:tc>
          <w:tcPr>
            <w:tcW w:w="318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>100 m</w:t>
            </w:r>
          </w:p>
        </w:tc>
      </w:tr>
    </w:tbl>
    <w:p w:rsidR="00276246" w:rsidRPr="00BC3E16" w:rsidRDefault="00BC3E16">
      <w:pPr>
        <w:spacing w:after="40" w:line="247" w:lineRule="auto"/>
        <w:jc w:val="both"/>
        <w:rPr>
          <w:sz w:val="24"/>
          <w:szCs w:val="24"/>
        </w:rPr>
      </w:pPr>
      <w:proofErr w:type="spellStart"/>
      <w:r w:rsidRPr="00BC3E16">
        <w:rPr>
          <w:rFonts w:eastAsia="Arial"/>
          <w:sz w:val="24"/>
          <w:szCs w:val="24"/>
        </w:rPr>
        <w:t>Área</w:t>
      </w:r>
      <w:proofErr w:type="spellEnd"/>
      <w:r w:rsidRPr="00BC3E16">
        <w:rPr>
          <w:rFonts w:eastAsia="Arial"/>
          <w:sz w:val="24"/>
          <w:szCs w:val="24"/>
        </w:rPr>
        <w:t xml:space="preserve"> total </w:t>
      </w:r>
      <w:proofErr w:type="spellStart"/>
      <w:r w:rsidRPr="00BC3E16">
        <w:rPr>
          <w:rFonts w:eastAsia="Arial"/>
          <w:sz w:val="24"/>
          <w:szCs w:val="24"/>
        </w:rPr>
        <w:t>estimada</w:t>
      </w:r>
      <w:proofErr w:type="spellEnd"/>
      <w:r w:rsidRPr="00BC3E16">
        <w:rPr>
          <w:rFonts w:eastAsia="Arial"/>
          <w:sz w:val="24"/>
          <w:szCs w:val="24"/>
        </w:rPr>
        <w:t xml:space="preserve">: 40.130 m², sendo aproximadamente 9.400 m² de vias urbanas e 30.730 m² de estradas </w:t>
      </w:r>
      <w:r w:rsidRPr="00BC3E16">
        <w:rPr>
          <w:rFonts w:eastAsia="Arial"/>
          <w:sz w:val="24"/>
          <w:szCs w:val="24"/>
        </w:rPr>
        <w:t>vicinais. As coordenadas e delimitações de cada trecho constam do Estudo Técnico Preliminar e serão confirmadas em campo pela contratada, em conjunto com a fiscalização municipal.</w:t>
      </w:r>
    </w:p>
    <w:p w:rsidR="00276246" w:rsidRPr="00BC3E16" w:rsidRDefault="00BC3E16">
      <w:pPr>
        <w:keepNext/>
        <w:spacing w:before="160" w:after="40" w:line="247" w:lineRule="auto"/>
        <w:rPr>
          <w:sz w:val="24"/>
          <w:szCs w:val="24"/>
        </w:rPr>
      </w:pPr>
      <w:r w:rsidRPr="00BC3E16">
        <w:rPr>
          <w:rFonts w:eastAsia="Arial"/>
          <w:b/>
          <w:sz w:val="24"/>
          <w:szCs w:val="24"/>
        </w:rPr>
        <w:t>5. REQUISITOS TÉCNICOS E PRODUTOS</w:t>
      </w:r>
    </w:p>
    <w:p w:rsidR="00276246" w:rsidRPr="00BC3E16" w:rsidRDefault="00BC3E16">
      <w:pPr>
        <w:spacing w:after="40" w:line="247" w:lineRule="auto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A contratada deverá entregar, no mínimo:</w:t>
      </w:r>
    </w:p>
    <w:p w:rsidR="00276246" w:rsidRPr="00BC3E16" w:rsidRDefault="00BC3E16">
      <w:pPr>
        <w:pStyle w:val="Commarcadores"/>
        <w:spacing w:after="40" w:line="247" w:lineRule="auto"/>
        <w:ind w:left="369" w:hanging="142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l</w:t>
      </w:r>
      <w:r w:rsidRPr="00BC3E16">
        <w:rPr>
          <w:rFonts w:eastAsia="Arial"/>
          <w:sz w:val="24"/>
          <w:szCs w:val="24"/>
        </w:rPr>
        <w:t>evantamentos de campo necessários ao desenvolvimento dos projetos;</w:t>
      </w:r>
    </w:p>
    <w:p w:rsidR="00276246" w:rsidRPr="00BC3E16" w:rsidRDefault="00BC3E16">
      <w:pPr>
        <w:pStyle w:val="Commarcadores"/>
        <w:spacing w:after="40" w:line="247" w:lineRule="auto"/>
        <w:ind w:left="369" w:hanging="142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projeto básico e projeto executivo;</w:t>
      </w:r>
    </w:p>
    <w:p w:rsidR="00276246" w:rsidRPr="00BC3E16" w:rsidRDefault="00BC3E16">
      <w:pPr>
        <w:pStyle w:val="Commarcadores"/>
        <w:spacing w:after="40" w:line="247" w:lineRule="auto"/>
        <w:ind w:left="369" w:hanging="142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projeto de pavimentação asfáltica;</w:t>
      </w:r>
    </w:p>
    <w:p w:rsidR="00276246" w:rsidRPr="00BC3E16" w:rsidRDefault="00BC3E16">
      <w:pPr>
        <w:pStyle w:val="Commarcadores"/>
        <w:spacing w:after="40" w:line="247" w:lineRule="auto"/>
        <w:ind w:left="369" w:hanging="142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projeto de sinalização horizontal e vertical;</w:t>
      </w:r>
    </w:p>
    <w:p w:rsidR="00276246" w:rsidRPr="00BC3E16" w:rsidRDefault="00BC3E16">
      <w:pPr>
        <w:pStyle w:val="Commarcadores"/>
        <w:spacing w:after="40" w:line="247" w:lineRule="auto"/>
        <w:ind w:left="369" w:hanging="142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projeto planialtimétrico;</w:t>
      </w:r>
    </w:p>
    <w:p w:rsidR="00276246" w:rsidRPr="00BC3E16" w:rsidRDefault="00BC3E16">
      <w:pPr>
        <w:pStyle w:val="Commarcadores"/>
        <w:spacing w:after="40" w:line="247" w:lineRule="auto"/>
        <w:ind w:left="369" w:hanging="142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memorial descritivo e especificações técnicas;</w:t>
      </w:r>
    </w:p>
    <w:p w:rsidR="00276246" w:rsidRPr="00BC3E16" w:rsidRDefault="00BC3E16">
      <w:pPr>
        <w:pStyle w:val="Commarcadores"/>
        <w:spacing w:after="40" w:line="247" w:lineRule="auto"/>
        <w:ind w:left="369" w:hanging="142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planilha orçamentária completa, com referências oficiais adequadas, incluindo SICRO e/ou SINAPI, conforme a natureza de cada serviço;</w:t>
      </w:r>
    </w:p>
    <w:p w:rsidR="00276246" w:rsidRPr="00BC3E16" w:rsidRDefault="00BC3E16">
      <w:pPr>
        <w:pStyle w:val="Commarcadores"/>
        <w:spacing w:after="40" w:line="247" w:lineRule="auto"/>
        <w:ind w:left="369" w:hanging="142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composições unitárias de custos, memória de cálculo, BDI detalhado e encargos sociais;</w:t>
      </w:r>
    </w:p>
    <w:p w:rsidR="00276246" w:rsidRPr="00BC3E16" w:rsidRDefault="00BC3E16">
      <w:pPr>
        <w:pStyle w:val="Commarcadores"/>
        <w:spacing w:after="40" w:line="247" w:lineRule="auto"/>
        <w:ind w:left="369" w:hanging="142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 xml:space="preserve">cronograma </w:t>
      </w:r>
      <w:r w:rsidRPr="00BC3E16">
        <w:rPr>
          <w:rFonts w:eastAsia="Arial"/>
          <w:sz w:val="24"/>
          <w:szCs w:val="24"/>
        </w:rPr>
        <w:t>físico-financeiro da futura obra;</w:t>
      </w:r>
    </w:p>
    <w:p w:rsidR="00276246" w:rsidRPr="00BC3E16" w:rsidRDefault="00BC3E16">
      <w:pPr>
        <w:pStyle w:val="Commarcadores"/>
        <w:spacing w:after="40" w:line="247" w:lineRule="auto"/>
        <w:ind w:left="369" w:hanging="142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ART/RRT de todos os serviços e projetos elaborados;</w:t>
      </w:r>
    </w:p>
    <w:p w:rsidR="00276246" w:rsidRPr="00BC3E16" w:rsidRDefault="00BC3E16">
      <w:pPr>
        <w:pStyle w:val="Commarcadores"/>
        <w:spacing w:after="40" w:line="247" w:lineRule="auto"/>
        <w:ind w:left="369" w:hanging="142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arquivos editáveis, inclusive DWG, XLSX e DOCX, além de arquivos em PDF;</w:t>
      </w:r>
    </w:p>
    <w:p w:rsidR="00276246" w:rsidRPr="00BC3E16" w:rsidRDefault="00BC3E16">
      <w:pPr>
        <w:pStyle w:val="Commarcadores"/>
        <w:spacing w:after="40" w:line="247" w:lineRule="auto"/>
        <w:ind w:left="369" w:hanging="142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versões impressas em escala legível, quando solicitadas pela Administração.</w:t>
      </w:r>
    </w:p>
    <w:p w:rsidR="00276246" w:rsidRPr="00BC3E16" w:rsidRDefault="00BC3E16">
      <w:pPr>
        <w:spacing w:after="40" w:line="247" w:lineRule="auto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Os projetos deverão o</w:t>
      </w:r>
      <w:r w:rsidRPr="00BC3E16">
        <w:rPr>
          <w:rFonts w:eastAsia="Arial"/>
          <w:sz w:val="24"/>
          <w:szCs w:val="24"/>
        </w:rPr>
        <w:t>bservar as normas técnicas e regulamentares aplicáveis, especialmente as normas da ABNT, do DNIT e do CONTRAN, o Manual Brasileiro de Sinalização de Trânsito, as referências do SICRO e do SINAPI e as exigências dos órgãos concedentes ou financiadores.</w:t>
      </w:r>
    </w:p>
    <w:p w:rsidR="00276246" w:rsidRPr="00BC3E16" w:rsidRDefault="00BC3E16">
      <w:pPr>
        <w:spacing w:after="40" w:line="247" w:lineRule="auto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lastRenderedPageBreak/>
        <w:t>A co</w:t>
      </w:r>
      <w:r w:rsidRPr="00BC3E16">
        <w:rPr>
          <w:rFonts w:eastAsia="Arial"/>
          <w:sz w:val="24"/>
          <w:szCs w:val="24"/>
        </w:rPr>
        <w:t>ntratada deverá possuir registro regular no conselho profissional competente e manter responsável técnico legalmente habilitado, com atribuições compatíveis com os serviços.</w:t>
      </w:r>
    </w:p>
    <w:p w:rsidR="00276246" w:rsidRPr="00BC3E16" w:rsidRDefault="00BC3E16">
      <w:pPr>
        <w:spacing w:after="40" w:line="247" w:lineRule="auto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 xml:space="preserve">Não integra o escopo </w:t>
      </w:r>
      <w:proofErr w:type="gramStart"/>
      <w:r w:rsidRPr="00BC3E16">
        <w:rPr>
          <w:rFonts w:eastAsia="Arial"/>
          <w:sz w:val="24"/>
          <w:szCs w:val="24"/>
        </w:rPr>
        <w:t>a</w:t>
      </w:r>
      <w:proofErr w:type="gramEnd"/>
      <w:r w:rsidRPr="00BC3E16">
        <w:rPr>
          <w:rFonts w:eastAsia="Arial"/>
          <w:sz w:val="24"/>
          <w:szCs w:val="24"/>
        </w:rPr>
        <w:t xml:space="preserve"> elaboração de projeto específico de drenagem pluvial. Os pr</w:t>
      </w:r>
      <w:r w:rsidRPr="00BC3E16">
        <w:rPr>
          <w:rFonts w:eastAsia="Arial"/>
          <w:sz w:val="24"/>
          <w:szCs w:val="24"/>
        </w:rPr>
        <w:t>ojetos deverão, contudo, considerar e compatibilizar-se com as condições de escoamento existentes e com as soluções de drenagem eventualmente definidas pelo Município.</w:t>
      </w:r>
    </w:p>
    <w:p w:rsidR="00276246" w:rsidRPr="00BC3E16" w:rsidRDefault="00BC3E16">
      <w:pPr>
        <w:keepNext/>
        <w:spacing w:before="160" w:after="40" w:line="247" w:lineRule="auto"/>
        <w:rPr>
          <w:sz w:val="24"/>
          <w:szCs w:val="24"/>
        </w:rPr>
      </w:pPr>
      <w:r w:rsidRPr="00BC3E16">
        <w:rPr>
          <w:rFonts w:eastAsia="Arial"/>
          <w:b/>
          <w:sz w:val="24"/>
          <w:szCs w:val="24"/>
        </w:rPr>
        <w:t>6. MODELO DE EXECUÇÃO</w:t>
      </w:r>
    </w:p>
    <w:p w:rsidR="00276246" w:rsidRPr="00BC3E16" w:rsidRDefault="00BC3E16">
      <w:pPr>
        <w:spacing w:after="40" w:line="247" w:lineRule="auto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 xml:space="preserve">6.1. </w:t>
      </w:r>
      <w:proofErr w:type="gramStart"/>
      <w:r w:rsidRPr="00BC3E16">
        <w:rPr>
          <w:rFonts w:eastAsia="Arial"/>
          <w:sz w:val="24"/>
          <w:szCs w:val="24"/>
        </w:rPr>
        <w:t>A</w:t>
      </w:r>
      <w:proofErr w:type="gramEnd"/>
      <w:r w:rsidRPr="00BC3E16">
        <w:rPr>
          <w:rFonts w:eastAsia="Arial"/>
          <w:sz w:val="24"/>
          <w:szCs w:val="24"/>
        </w:rPr>
        <w:t xml:space="preserve"> execução será iniciada mediante emissão de ordem de serviço</w:t>
      </w:r>
      <w:r w:rsidRPr="00BC3E16">
        <w:rPr>
          <w:rFonts w:eastAsia="Arial"/>
          <w:sz w:val="24"/>
          <w:szCs w:val="24"/>
        </w:rPr>
        <w:t xml:space="preserve"> e realização de reunião inicial entre a contratada e a fiscalização para definição das prioridades e disponibilização dos documentos existentes.</w:t>
      </w:r>
    </w:p>
    <w:p w:rsidR="00276246" w:rsidRPr="00BC3E16" w:rsidRDefault="00BC3E16">
      <w:pPr>
        <w:spacing w:after="40" w:line="247" w:lineRule="auto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6.2. A contratada realizará os levantamentos necessários, apresentará os projetos e documentos para análise mu</w:t>
      </w:r>
      <w:r w:rsidRPr="00BC3E16">
        <w:rPr>
          <w:rFonts w:eastAsia="Arial"/>
          <w:sz w:val="24"/>
          <w:szCs w:val="24"/>
        </w:rPr>
        <w:t>nicipal e promoverá, sem custo adicional, as correções decorrentes de falhas, incompatibilidades ou exigências técnicas relacionadas ao objeto contratado.</w:t>
      </w:r>
    </w:p>
    <w:p w:rsidR="00276246" w:rsidRPr="00BC3E16" w:rsidRDefault="00BC3E16">
      <w:pPr>
        <w:spacing w:after="40" w:line="247" w:lineRule="auto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 xml:space="preserve">6.3. Os produtos poderão ser organizados por trecho, conforme cronograma aprovado pela fiscalização, </w:t>
      </w:r>
      <w:r w:rsidRPr="00BC3E16">
        <w:rPr>
          <w:rFonts w:eastAsia="Arial"/>
          <w:sz w:val="24"/>
          <w:szCs w:val="24"/>
        </w:rPr>
        <w:t>permitindo que o Município priorize os projetos vinculados a prazos de convênios, do Programa PAVIMENTA RS e dos investimentos financiados pelo BRDE.</w:t>
      </w:r>
    </w:p>
    <w:p w:rsidR="00276246" w:rsidRPr="00BC3E16" w:rsidRDefault="00BC3E16">
      <w:pPr>
        <w:spacing w:after="40" w:line="247" w:lineRule="auto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6.4. O prazo de execução será fixado no instrumento de contratação, em período compatível com o cronograma</w:t>
      </w:r>
      <w:r w:rsidRPr="00BC3E16">
        <w:rPr>
          <w:rFonts w:eastAsia="Arial"/>
          <w:sz w:val="24"/>
          <w:szCs w:val="24"/>
        </w:rPr>
        <w:t xml:space="preserve"> dos convênios e investimentos municipais, contado da emissão da ordem de serviço.</w:t>
      </w:r>
    </w:p>
    <w:p w:rsidR="00276246" w:rsidRPr="00BC3E16" w:rsidRDefault="00BC3E16">
      <w:pPr>
        <w:keepNext/>
        <w:spacing w:before="160" w:after="40" w:line="247" w:lineRule="auto"/>
        <w:rPr>
          <w:sz w:val="24"/>
          <w:szCs w:val="24"/>
        </w:rPr>
      </w:pPr>
      <w:r w:rsidRPr="00BC3E16">
        <w:rPr>
          <w:rFonts w:eastAsia="Arial"/>
          <w:b/>
          <w:sz w:val="24"/>
          <w:szCs w:val="24"/>
        </w:rPr>
        <w:t>7. OBRIGAÇÕES DA CONTRATADA</w:t>
      </w:r>
    </w:p>
    <w:p w:rsidR="00276246" w:rsidRPr="00BC3E16" w:rsidRDefault="00BC3E16">
      <w:pPr>
        <w:pStyle w:val="Commarcadores"/>
        <w:spacing w:after="40" w:line="247" w:lineRule="auto"/>
        <w:ind w:left="369" w:hanging="142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executar integralmente o objeto, com observância deste TR, do ETP e das normas técnicas aplicáveis;</w:t>
      </w:r>
    </w:p>
    <w:p w:rsidR="00276246" w:rsidRPr="00BC3E16" w:rsidRDefault="00BC3E16">
      <w:pPr>
        <w:pStyle w:val="Commarcadores"/>
        <w:spacing w:after="40" w:line="247" w:lineRule="auto"/>
        <w:ind w:left="369" w:hanging="142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 xml:space="preserve">designar e manter </w:t>
      </w:r>
      <w:r w:rsidRPr="00BC3E16">
        <w:rPr>
          <w:rFonts w:eastAsia="Arial"/>
          <w:sz w:val="24"/>
          <w:szCs w:val="24"/>
        </w:rPr>
        <w:t>profissional(is) habilitado(s) e emitir as respectivas ARTs/RRTs;</w:t>
      </w:r>
    </w:p>
    <w:p w:rsidR="00276246" w:rsidRPr="00BC3E16" w:rsidRDefault="00BC3E16">
      <w:pPr>
        <w:pStyle w:val="Commarcadores"/>
        <w:spacing w:after="40" w:line="247" w:lineRule="auto"/>
        <w:ind w:left="369" w:hanging="142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realizar, por sua conta, os levantamentos e deslocamentos necessários;</w:t>
      </w:r>
    </w:p>
    <w:p w:rsidR="00276246" w:rsidRPr="00BC3E16" w:rsidRDefault="00BC3E16">
      <w:pPr>
        <w:pStyle w:val="Commarcadores"/>
        <w:spacing w:after="40" w:line="247" w:lineRule="auto"/>
        <w:ind w:left="369" w:hanging="142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entregar os arquivos nos formatos exigidos e manter coerência entre peças gráficas, memoriais, quantitativos e orçament</w:t>
      </w:r>
      <w:r w:rsidRPr="00BC3E16">
        <w:rPr>
          <w:rFonts w:eastAsia="Arial"/>
          <w:sz w:val="24"/>
          <w:szCs w:val="24"/>
        </w:rPr>
        <w:t>o;</w:t>
      </w:r>
    </w:p>
    <w:p w:rsidR="00276246" w:rsidRPr="00BC3E16" w:rsidRDefault="00BC3E16">
      <w:pPr>
        <w:pStyle w:val="Commarcadores"/>
        <w:spacing w:after="40" w:line="247" w:lineRule="auto"/>
        <w:ind w:left="369" w:hanging="142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corrigir, no prazo definido pela fiscalização, erros, omissões ou incompatibilidades identificadas nos produtos entregues;</w:t>
      </w:r>
    </w:p>
    <w:p w:rsidR="00276246" w:rsidRPr="00BC3E16" w:rsidRDefault="00BC3E16">
      <w:pPr>
        <w:pStyle w:val="Commarcadores"/>
        <w:spacing w:after="40" w:line="247" w:lineRule="auto"/>
        <w:ind w:left="369" w:hanging="142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 xml:space="preserve">prestar os esclarecimentos técnicos necessários durante </w:t>
      </w:r>
      <w:proofErr w:type="gramStart"/>
      <w:r w:rsidRPr="00BC3E16">
        <w:rPr>
          <w:rFonts w:eastAsia="Arial"/>
          <w:sz w:val="24"/>
          <w:szCs w:val="24"/>
        </w:rPr>
        <w:t>a</w:t>
      </w:r>
      <w:proofErr w:type="gramEnd"/>
      <w:r w:rsidRPr="00BC3E16">
        <w:rPr>
          <w:rFonts w:eastAsia="Arial"/>
          <w:sz w:val="24"/>
          <w:szCs w:val="24"/>
        </w:rPr>
        <w:t xml:space="preserve"> análise dos projetos e durante a fase preparatória da futura licitação d</w:t>
      </w:r>
      <w:r w:rsidRPr="00BC3E16">
        <w:rPr>
          <w:rFonts w:eastAsia="Arial"/>
          <w:sz w:val="24"/>
          <w:szCs w:val="24"/>
        </w:rPr>
        <w:t>as obras;</w:t>
      </w:r>
    </w:p>
    <w:p w:rsidR="00276246" w:rsidRPr="00BC3E16" w:rsidRDefault="00BC3E16">
      <w:pPr>
        <w:pStyle w:val="Commarcadores"/>
        <w:spacing w:after="40" w:line="247" w:lineRule="auto"/>
        <w:ind w:left="369" w:hanging="142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 xml:space="preserve">manter as condições de habilitação e regularidade exigidas durante </w:t>
      </w:r>
      <w:proofErr w:type="gramStart"/>
      <w:r w:rsidRPr="00BC3E16">
        <w:rPr>
          <w:rFonts w:eastAsia="Arial"/>
          <w:sz w:val="24"/>
          <w:szCs w:val="24"/>
        </w:rPr>
        <w:t>a</w:t>
      </w:r>
      <w:proofErr w:type="gramEnd"/>
      <w:r w:rsidRPr="00BC3E16">
        <w:rPr>
          <w:rFonts w:eastAsia="Arial"/>
          <w:sz w:val="24"/>
          <w:szCs w:val="24"/>
        </w:rPr>
        <w:t xml:space="preserve"> execução contratual.</w:t>
      </w:r>
    </w:p>
    <w:p w:rsidR="00276246" w:rsidRPr="00BC3E16" w:rsidRDefault="00BC3E16">
      <w:pPr>
        <w:keepNext/>
        <w:spacing w:before="160" w:after="40" w:line="247" w:lineRule="auto"/>
        <w:rPr>
          <w:sz w:val="24"/>
          <w:szCs w:val="24"/>
        </w:rPr>
      </w:pPr>
      <w:r w:rsidRPr="00BC3E16">
        <w:rPr>
          <w:rFonts w:eastAsia="Arial"/>
          <w:b/>
          <w:sz w:val="24"/>
          <w:szCs w:val="24"/>
        </w:rPr>
        <w:t>8. OBRIGAÇÕES DO MUNICÍPIO</w:t>
      </w:r>
    </w:p>
    <w:p w:rsidR="00276246" w:rsidRPr="00BC3E16" w:rsidRDefault="00BC3E16">
      <w:pPr>
        <w:pStyle w:val="Commarcadores"/>
        <w:spacing w:after="40" w:line="247" w:lineRule="auto"/>
        <w:ind w:left="369" w:hanging="142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fornecer as informações, documentos e dados existentes necessários à execução dos serviços;</w:t>
      </w:r>
    </w:p>
    <w:p w:rsidR="00276246" w:rsidRPr="00BC3E16" w:rsidRDefault="00BC3E16">
      <w:pPr>
        <w:pStyle w:val="Commarcadores"/>
        <w:spacing w:after="40" w:line="247" w:lineRule="auto"/>
        <w:ind w:left="369" w:hanging="142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indicar os trechos, prioridades e eve</w:t>
      </w:r>
      <w:r w:rsidRPr="00BC3E16">
        <w:rPr>
          <w:rFonts w:eastAsia="Arial"/>
          <w:sz w:val="24"/>
          <w:szCs w:val="24"/>
        </w:rPr>
        <w:t>ntuais condicionantes decorrentes de convênios, financiamentos ou programas públicos;</w:t>
      </w:r>
    </w:p>
    <w:p w:rsidR="00276246" w:rsidRPr="00BC3E16" w:rsidRDefault="00BC3E16">
      <w:pPr>
        <w:pStyle w:val="Commarcadores"/>
        <w:spacing w:after="40" w:line="247" w:lineRule="auto"/>
        <w:ind w:left="369" w:hanging="142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acompanhar, fiscalizar e analisar os produtos apresentados;</w:t>
      </w:r>
    </w:p>
    <w:p w:rsidR="00276246" w:rsidRPr="00BC3E16" w:rsidRDefault="00BC3E16">
      <w:pPr>
        <w:pStyle w:val="Commarcadores"/>
        <w:spacing w:after="40" w:line="247" w:lineRule="auto"/>
        <w:ind w:left="369" w:hanging="142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solicitar ajustes tecnicamente justificados e atestar os serviços executados;</w:t>
      </w:r>
    </w:p>
    <w:p w:rsidR="00276246" w:rsidRPr="00BC3E16" w:rsidRDefault="00BC3E16">
      <w:pPr>
        <w:pStyle w:val="Commarcadores"/>
        <w:spacing w:after="40" w:line="247" w:lineRule="auto"/>
        <w:ind w:left="369" w:hanging="142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 xml:space="preserve">efetuar o pagamento após o </w:t>
      </w:r>
      <w:r w:rsidRPr="00BC3E16">
        <w:rPr>
          <w:rFonts w:eastAsia="Arial"/>
          <w:sz w:val="24"/>
          <w:szCs w:val="24"/>
        </w:rPr>
        <w:t>recebimento e o atesto dos produtos correspondentes.</w:t>
      </w:r>
    </w:p>
    <w:p w:rsidR="00276246" w:rsidRPr="00BC3E16" w:rsidRDefault="00BC3E16">
      <w:pPr>
        <w:keepNext/>
        <w:spacing w:before="160" w:after="40" w:line="247" w:lineRule="auto"/>
        <w:rPr>
          <w:sz w:val="24"/>
          <w:szCs w:val="24"/>
        </w:rPr>
      </w:pPr>
      <w:r w:rsidRPr="00BC3E16">
        <w:rPr>
          <w:rFonts w:eastAsia="Arial"/>
          <w:b/>
          <w:sz w:val="24"/>
          <w:szCs w:val="24"/>
        </w:rPr>
        <w:lastRenderedPageBreak/>
        <w:t>9. GESTÃO, FISCALIZAÇÃO E RECEBIMENTO</w:t>
      </w:r>
    </w:p>
    <w:p w:rsidR="00276246" w:rsidRPr="00BC3E16" w:rsidRDefault="00BC3E16">
      <w:pPr>
        <w:spacing w:after="40" w:line="247" w:lineRule="auto"/>
        <w:jc w:val="both"/>
        <w:rPr>
          <w:sz w:val="24"/>
          <w:szCs w:val="24"/>
        </w:rPr>
      </w:pPr>
      <w:proofErr w:type="gramStart"/>
      <w:r w:rsidRPr="00BC3E16">
        <w:rPr>
          <w:rFonts w:eastAsia="Arial"/>
          <w:sz w:val="24"/>
          <w:szCs w:val="24"/>
        </w:rPr>
        <w:t>A</w:t>
      </w:r>
      <w:proofErr w:type="gramEnd"/>
      <w:r w:rsidRPr="00BC3E16">
        <w:rPr>
          <w:rFonts w:eastAsia="Arial"/>
          <w:sz w:val="24"/>
          <w:szCs w:val="24"/>
        </w:rPr>
        <w:t xml:space="preserve"> execução será acompanhada por gestor e fiscal designados pela Administração, nos termos da Lei nº 14.133/2021. O recebimento ocorrerá mediante análise dos produtos</w:t>
      </w:r>
      <w:r w:rsidRPr="00BC3E16">
        <w:rPr>
          <w:rFonts w:eastAsia="Arial"/>
          <w:sz w:val="24"/>
          <w:szCs w:val="24"/>
        </w:rPr>
        <w:t xml:space="preserve"> e verificação de sua conformidade com este TR e com o ETP.</w:t>
      </w:r>
    </w:p>
    <w:p w:rsidR="00276246" w:rsidRPr="00BC3E16" w:rsidRDefault="00BC3E16">
      <w:pPr>
        <w:spacing w:after="40" w:line="247" w:lineRule="auto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 xml:space="preserve">O recebimento provisório não afasta a responsabilidade da contratada por erros, omissões, incompatibilidades ou insuficiências técnicas. O recebimento definitivo ocorrerá após </w:t>
      </w:r>
      <w:proofErr w:type="gramStart"/>
      <w:r w:rsidRPr="00BC3E16">
        <w:rPr>
          <w:rFonts w:eastAsia="Arial"/>
          <w:sz w:val="24"/>
          <w:szCs w:val="24"/>
        </w:rPr>
        <w:t>a</w:t>
      </w:r>
      <w:proofErr w:type="gramEnd"/>
      <w:r w:rsidRPr="00BC3E16">
        <w:rPr>
          <w:rFonts w:eastAsia="Arial"/>
          <w:sz w:val="24"/>
          <w:szCs w:val="24"/>
        </w:rPr>
        <w:t xml:space="preserve"> aprovação dos docu</w:t>
      </w:r>
      <w:r w:rsidRPr="00BC3E16">
        <w:rPr>
          <w:rFonts w:eastAsia="Arial"/>
          <w:sz w:val="24"/>
          <w:szCs w:val="24"/>
        </w:rPr>
        <w:t>mentos e a entrega das versões finais e respectivas ARTs/RRTs.</w:t>
      </w:r>
    </w:p>
    <w:p w:rsidR="00276246" w:rsidRPr="00BC3E16" w:rsidRDefault="00BC3E16">
      <w:pPr>
        <w:keepNext/>
        <w:spacing w:before="160" w:after="40" w:line="247" w:lineRule="auto"/>
        <w:rPr>
          <w:sz w:val="24"/>
          <w:szCs w:val="24"/>
        </w:rPr>
      </w:pPr>
      <w:r w:rsidRPr="00BC3E16">
        <w:rPr>
          <w:rFonts w:eastAsia="Arial"/>
          <w:b/>
          <w:sz w:val="24"/>
          <w:szCs w:val="24"/>
        </w:rPr>
        <w:t>10. MEDIÇÃO E PAGAMENTO</w:t>
      </w:r>
    </w:p>
    <w:p w:rsidR="00276246" w:rsidRPr="00BC3E16" w:rsidRDefault="00BC3E16">
      <w:pPr>
        <w:spacing w:after="40" w:line="247" w:lineRule="auto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O pagamento será realizado de acordo com os produtos efetivamente entregues, aprovados e atestados pela fiscalização, conforme etapas ou parcelas definidas no instrument</w:t>
      </w:r>
      <w:r w:rsidRPr="00BC3E16">
        <w:rPr>
          <w:rFonts w:eastAsia="Arial"/>
          <w:sz w:val="24"/>
          <w:szCs w:val="24"/>
        </w:rPr>
        <w:t>o contratual. Não haverá pagamento por produto rejeitado ou pendente de correção.</w:t>
      </w:r>
    </w:p>
    <w:p w:rsidR="00276246" w:rsidRPr="00BC3E16" w:rsidRDefault="00BC3E16">
      <w:pPr>
        <w:spacing w:after="40" w:line="247" w:lineRule="auto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A nota fiscal deverá ser emitida somente após o atesto da etapa correspondente, observados os prazos e procedimentos administrativos do Município.</w:t>
      </w:r>
    </w:p>
    <w:p w:rsidR="00276246" w:rsidRPr="00BC3E16" w:rsidRDefault="00BC3E16">
      <w:pPr>
        <w:keepNext/>
        <w:spacing w:before="160" w:after="40" w:line="247" w:lineRule="auto"/>
        <w:rPr>
          <w:sz w:val="24"/>
          <w:szCs w:val="24"/>
        </w:rPr>
      </w:pPr>
      <w:r w:rsidRPr="00BC3E16">
        <w:rPr>
          <w:rFonts w:eastAsia="Arial"/>
          <w:b/>
          <w:sz w:val="24"/>
          <w:szCs w:val="24"/>
        </w:rPr>
        <w:t>11. FORMA E CRITÉRIOS DE SE</w:t>
      </w:r>
      <w:r w:rsidRPr="00BC3E16">
        <w:rPr>
          <w:rFonts w:eastAsia="Arial"/>
          <w:b/>
          <w:sz w:val="24"/>
          <w:szCs w:val="24"/>
        </w:rPr>
        <w:t>LEÇÃO DO FORNECEDOR</w:t>
      </w:r>
    </w:p>
    <w:p w:rsidR="00276246" w:rsidRPr="00BC3E16" w:rsidRDefault="00BC3E16">
      <w:pPr>
        <w:spacing w:after="40" w:line="247" w:lineRule="auto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A seleção será realizada pelo procedimento legalmente cabível, observada a natureza de serviço técnico especializado de engenharia e a Lei nº 14.133/2021, adotando-se como critério econômico o menor preço global, sem prejuízo das exigên</w:t>
      </w:r>
      <w:r w:rsidRPr="00BC3E16">
        <w:rPr>
          <w:rFonts w:eastAsia="Arial"/>
          <w:sz w:val="24"/>
          <w:szCs w:val="24"/>
        </w:rPr>
        <w:t>cias de habilitação e qualificação técnica necessárias à adequada execução do objeto.</w:t>
      </w:r>
    </w:p>
    <w:p w:rsidR="00276246" w:rsidRPr="00BC3E16" w:rsidRDefault="00BC3E16">
      <w:pPr>
        <w:spacing w:after="40" w:line="247" w:lineRule="auto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A qualificação técnica deverá exigir, de forma proporcional ao objeto:</w:t>
      </w:r>
    </w:p>
    <w:p w:rsidR="00276246" w:rsidRPr="00BC3E16" w:rsidRDefault="00BC3E16">
      <w:pPr>
        <w:pStyle w:val="Commarcadores"/>
        <w:spacing w:after="40" w:line="247" w:lineRule="auto"/>
        <w:ind w:left="369" w:hanging="142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registro da empresa e do(s) responsável(is) técnico(s) no conselho profissional competente;</w:t>
      </w:r>
    </w:p>
    <w:p w:rsidR="00276246" w:rsidRPr="00BC3E16" w:rsidRDefault="00BC3E16">
      <w:pPr>
        <w:pStyle w:val="Commarcadores"/>
        <w:spacing w:after="40" w:line="247" w:lineRule="auto"/>
        <w:ind w:left="369" w:hanging="142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comprov</w:t>
      </w:r>
      <w:r w:rsidRPr="00BC3E16">
        <w:rPr>
          <w:rFonts w:eastAsia="Arial"/>
          <w:sz w:val="24"/>
          <w:szCs w:val="24"/>
        </w:rPr>
        <w:t>ação de aptidão para elaboração de projetos de engenharia compatíveis com o objeto, mediante atestado(s) de capacidade técnica;</w:t>
      </w:r>
    </w:p>
    <w:p w:rsidR="00276246" w:rsidRPr="00BC3E16" w:rsidRDefault="00BC3E16">
      <w:pPr>
        <w:pStyle w:val="Commarcadores"/>
        <w:spacing w:after="40" w:line="247" w:lineRule="auto"/>
        <w:ind w:left="369" w:hanging="142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indicação do responsável técnico e comprovação do vínculo admitido em lei;</w:t>
      </w:r>
    </w:p>
    <w:p w:rsidR="00276246" w:rsidRPr="00BC3E16" w:rsidRDefault="00BC3E16">
      <w:pPr>
        <w:pStyle w:val="Commarcadores"/>
        <w:spacing w:after="40" w:line="247" w:lineRule="auto"/>
        <w:ind w:left="369" w:hanging="142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demais documentos de habilitação jurídica, fiscal, so</w:t>
      </w:r>
      <w:r w:rsidRPr="00BC3E16">
        <w:rPr>
          <w:rFonts w:eastAsia="Arial"/>
          <w:sz w:val="24"/>
          <w:szCs w:val="24"/>
        </w:rPr>
        <w:t>cial e trabalhista exigidos no procedimento.</w:t>
      </w:r>
    </w:p>
    <w:p w:rsidR="00276246" w:rsidRPr="00BC3E16" w:rsidRDefault="00BC3E16">
      <w:pPr>
        <w:keepNext/>
        <w:spacing w:before="160" w:after="40" w:line="247" w:lineRule="auto"/>
        <w:rPr>
          <w:sz w:val="24"/>
          <w:szCs w:val="24"/>
        </w:rPr>
      </w:pPr>
      <w:r w:rsidRPr="00BC3E16">
        <w:rPr>
          <w:rFonts w:eastAsia="Arial"/>
          <w:b/>
          <w:sz w:val="24"/>
          <w:szCs w:val="24"/>
        </w:rPr>
        <w:t>12. ESTIMATIVA DO VALOR</w:t>
      </w:r>
    </w:p>
    <w:p w:rsidR="00276246" w:rsidRPr="00BC3E16" w:rsidRDefault="00BC3E16">
      <w:pPr>
        <w:spacing w:after="40" w:line="247" w:lineRule="auto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O valor estimado da contratação é de R$ 65.411,90 (sessenta e cinco mil, quatrocentos e onze reais e noventa centavos), conforme pesquisa de contratações similares constante do Estudo Téc</w:t>
      </w:r>
      <w:r w:rsidRPr="00BC3E16">
        <w:rPr>
          <w:rFonts w:eastAsia="Arial"/>
          <w:sz w:val="24"/>
          <w:szCs w:val="24"/>
        </w:rPr>
        <w:t>nico Preliminar. O valor possui caráter estimativo e servirá de referência para o procedimento de contratação.</w:t>
      </w:r>
    </w:p>
    <w:p w:rsidR="00276246" w:rsidRPr="00BC3E16" w:rsidRDefault="00BC3E16">
      <w:pPr>
        <w:keepNext/>
        <w:spacing w:before="160" w:after="40" w:line="247" w:lineRule="auto"/>
        <w:rPr>
          <w:sz w:val="24"/>
          <w:szCs w:val="24"/>
        </w:rPr>
      </w:pPr>
      <w:r w:rsidRPr="00BC3E16">
        <w:rPr>
          <w:rFonts w:eastAsia="Arial"/>
          <w:b/>
          <w:sz w:val="24"/>
          <w:szCs w:val="24"/>
        </w:rPr>
        <w:t>13. ADEQUAÇÃO ORÇAMENTÁRIA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41"/>
        <w:gridCol w:w="6224"/>
      </w:tblGrid>
      <w:tr w:rsidR="00276246" w:rsidRPr="00BC3E16" w:rsidTr="00BC3E16">
        <w:trPr>
          <w:jc w:val="center"/>
        </w:trPr>
        <w:tc>
          <w:tcPr>
            <w:tcW w:w="334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C3E16">
              <w:rPr>
                <w:rFonts w:eastAsia="Arial"/>
                <w:b/>
                <w:sz w:val="24"/>
                <w:szCs w:val="24"/>
              </w:rPr>
              <w:t>Unidade</w:t>
            </w:r>
            <w:proofErr w:type="spellEnd"/>
            <w:r w:rsidRPr="00BC3E16">
              <w:rPr>
                <w:rFonts w:eastAsia="Arial"/>
                <w:b/>
                <w:sz w:val="24"/>
                <w:szCs w:val="24"/>
              </w:rPr>
              <w:t xml:space="preserve"> </w:t>
            </w:r>
            <w:proofErr w:type="spellStart"/>
            <w:r w:rsidRPr="00BC3E16">
              <w:rPr>
                <w:rFonts w:eastAsia="Arial"/>
                <w:b/>
                <w:sz w:val="24"/>
                <w:szCs w:val="24"/>
              </w:rPr>
              <w:t>Orçamentária</w:t>
            </w:r>
            <w:proofErr w:type="spellEnd"/>
          </w:p>
        </w:tc>
        <w:tc>
          <w:tcPr>
            <w:tcW w:w="62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>08.01 – Secretaria de Obras</w:t>
            </w:r>
          </w:p>
        </w:tc>
      </w:tr>
      <w:tr w:rsidR="00276246" w:rsidRPr="00BC3E16" w:rsidTr="00BC3E16">
        <w:trPr>
          <w:jc w:val="center"/>
        </w:trPr>
        <w:tc>
          <w:tcPr>
            <w:tcW w:w="334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rPr>
                <w:sz w:val="24"/>
                <w:szCs w:val="24"/>
              </w:rPr>
            </w:pPr>
            <w:r w:rsidRPr="00BC3E16">
              <w:rPr>
                <w:rFonts w:eastAsia="Arial"/>
                <w:b/>
                <w:sz w:val="24"/>
                <w:szCs w:val="24"/>
              </w:rPr>
              <w:t>Projeto/Atividade</w:t>
            </w:r>
          </w:p>
        </w:tc>
        <w:tc>
          <w:tcPr>
            <w:tcW w:w="62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 xml:space="preserve">2.039 – Manutenção das Atividades da </w:t>
            </w:r>
            <w:r w:rsidRPr="00BC3E16">
              <w:rPr>
                <w:rFonts w:eastAsia="Arial"/>
                <w:sz w:val="24"/>
                <w:szCs w:val="24"/>
              </w:rPr>
              <w:t>Secretaria de Obras</w:t>
            </w:r>
          </w:p>
        </w:tc>
      </w:tr>
      <w:tr w:rsidR="00276246" w:rsidRPr="00BC3E16" w:rsidTr="00BC3E16">
        <w:trPr>
          <w:jc w:val="center"/>
        </w:trPr>
        <w:tc>
          <w:tcPr>
            <w:tcW w:w="334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rPr>
                <w:sz w:val="24"/>
                <w:szCs w:val="24"/>
              </w:rPr>
            </w:pPr>
            <w:r w:rsidRPr="00BC3E16">
              <w:rPr>
                <w:rFonts w:eastAsia="Arial"/>
                <w:b/>
                <w:sz w:val="24"/>
                <w:szCs w:val="24"/>
              </w:rPr>
              <w:t>Reduzido</w:t>
            </w:r>
          </w:p>
        </w:tc>
        <w:tc>
          <w:tcPr>
            <w:tcW w:w="62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>273</w:t>
            </w:r>
          </w:p>
        </w:tc>
      </w:tr>
      <w:tr w:rsidR="00276246" w:rsidRPr="00BC3E16" w:rsidTr="00BC3E16">
        <w:trPr>
          <w:jc w:val="center"/>
        </w:trPr>
        <w:tc>
          <w:tcPr>
            <w:tcW w:w="334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rPr>
                <w:sz w:val="24"/>
                <w:szCs w:val="24"/>
              </w:rPr>
            </w:pPr>
            <w:r w:rsidRPr="00BC3E16">
              <w:rPr>
                <w:rFonts w:eastAsia="Arial"/>
                <w:b/>
                <w:sz w:val="24"/>
                <w:szCs w:val="24"/>
              </w:rPr>
              <w:t>Elemento de Despesa</w:t>
            </w:r>
          </w:p>
        </w:tc>
        <w:tc>
          <w:tcPr>
            <w:tcW w:w="62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>3.3.90.39.00.00.00 – Outros Serviços de Terceiros – Pessoa Jurídica</w:t>
            </w:r>
          </w:p>
        </w:tc>
      </w:tr>
      <w:tr w:rsidR="00276246" w:rsidRPr="00BC3E16" w:rsidTr="00BC3E16">
        <w:trPr>
          <w:jc w:val="center"/>
        </w:trPr>
        <w:tc>
          <w:tcPr>
            <w:tcW w:w="334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rPr>
                <w:sz w:val="24"/>
                <w:szCs w:val="24"/>
              </w:rPr>
            </w:pPr>
            <w:r w:rsidRPr="00BC3E16">
              <w:rPr>
                <w:rFonts w:eastAsia="Arial"/>
                <w:b/>
                <w:sz w:val="24"/>
                <w:szCs w:val="24"/>
              </w:rPr>
              <w:lastRenderedPageBreak/>
              <w:t>Fonte de Recursos</w:t>
            </w:r>
          </w:p>
        </w:tc>
        <w:tc>
          <w:tcPr>
            <w:tcW w:w="62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76246" w:rsidRPr="00BC3E16" w:rsidRDefault="00BC3E16">
            <w:pPr>
              <w:spacing w:after="0" w:line="240" w:lineRule="auto"/>
              <w:rPr>
                <w:sz w:val="24"/>
                <w:szCs w:val="24"/>
              </w:rPr>
            </w:pPr>
            <w:r w:rsidRPr="00BC3E16">
              <w:rPr>
                <w:rFonts w:eastAsia="Arial"/>
                <w:sz w:val="24"/>
                <w:szCs w:val="24"/>
              </w:rPr>
              <w:t>Recursos orçamentários próprios, conforme disponibilidade e empenho</w:t>
            </w:r>
          </w:p>
        </w:tc>
      </w:tr>
    </w:tbl>
    <w:p w:rsidR="00276246" w:rsidRPr="00BC3E16" w:rsidRDefault="00BC3E16">
      <w:pPr>
        <w:keepNext/>
        <w:spacing w:before="160" w:after="40" w:line="247" w:lineRule="auto"/>
        <w:rPr>
          <w:sz w:val="24"/>
          <w:szCs w:val="24"/>
        </w:rPr>
      </w:pPr>
      <w:r w:rsidRPr="00BC3E16">
        <w:rPr>
          <w:rFonts w:eastAsia="Arial"/>
          <w:b/>
          <w:sz w:val="24"/>
          <w:szCs w:val="24"/>
        </w:rPr>
        <w:t>14. RESULTADOS PRETENDIDOS</w:t>
      </w:r>
    </w:p>
    <w:p w:rsidR="00276246" w:rsidRPr="00BC3E16" w:rsidRDefault="00BC3E16">
      <w:pPr>
        <w:pStyle w:val="Commarcadores"/>
        <w:spacing w:after="40" w:line="247" w:lineRule="auto"/>
        <w:ind w:left="369" w:hanging="142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 xml:space="preserve">obter </w:t>
      </w:r>
      <w:r w:rsidRPr="00BC3E16">
        <w:rPr>
          <w:rFonts w:eastAsia="Arial"/>
          <w:sz w:val="24"/>
          <w:szCs w:val="24"/>
        </w:rPr>
        <w:t>projetos completos e aptos a subsidiar convênios, financiamentos e futuras licitações de obras;</w:t>
      </w:r>
    </w:p>
    <w:p w:rsidR="00276246" w:rsidRPr="00BC3E16" w:rsidRDefault="00BC3E16">
      <w:pPr>
        <w:pStyle w:val="Commarcadores"/>
        <w:spacing w:after="40" w:line="247" w:lineRule="auto"/>
        <w:ind w:left="369" w:hanging="142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reduzir riscos de incompatibilidades, aditivos e retrabalhos;</w:t>
      </w:r>
    </w:p>
    <w:p w:rsidR="00276246" w:rsidRPr="00BC3E16" w:rsidRDefault="00BC3E16">
      <w:pPr>
        <w:pStyle w:val="Commarcadores"/>
        <w:spacing w:after="40" w:line="247" w:lineRule="auto"/>
        <w:ind w:left="369" w:hanging="142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melhorar o planejamento e a precisão dos orçamentos das obras;</w:t>
      </w:r>
    </w:p>
    <w:p w:rsidR="00276246" w:rsidRPr="00BC3E16" w:rsidRDefault="00BC3E16">
      <w:pPr>
        <w:pStyle w:val="Commarcadores"/>
        <w:spacing w:after="40" w:line="247" w:lineRule="auto"/>
        <w:ind w:left="369" w:hanging="142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>viabilizar investimentos municipais</w:t>
      </w:r>
      <w:r w:rsidRPr="00BC3E16">
        <w:rPr>
          <w:rFonts w:eastAsia="Arial"/>
          <w:sz w:val="24"/>
          <w:szCs w:val="24"/>
        </w:rPr>
        <w:t xml:space="preserve"> em mobilidade e infraestrutura viária com maior segurança técnica e eficiência.</w:t>
      </w:r>
    </w:p>
    <w:p w:rsidR="00276246" w:rsidRPr="00BC3E16" w:rsidRDefault="00BC3E16">
      <w:pPr>
        <w:keepNext/>
        <w:spacing w:before="160" w:after="40" w:line="247" w:lineRule="auto"/>
        <w:rPr>
          <w:sz w:val="24"/>
          <w:szCs w:val="24"/>
        </w:rPr>
      </w:pPr>
      <w:r w:rsidRPr="00BC3E16">
        <w:rPr>
          <w:rFonts w:eastAsia="Arial"/>
          <w:b/>
          <w:sz w:val="24"/>
          <w:szCs w:val="24"/>
        </w:rPr>
        <w:t>15. DISPOSIÇÕES FINAIS</w:t>
      </w:r>
    </w:p>
    <w:p w:rsidR="00276246" w:rsidRPr="00BC3E16" w:rsidRDefault="00BC3E16">
      <w:pPr>
        <w:spacing w:after="40" w:line="247" w:lineRule="auto"/>
        <w:jc w:val="both"/>
        <w:rPr>
          <w:sz w:val="24"/>
          <w:szCs w:val="24"/>
        </w:rPr>
      </w:pPr>
      <w:r w:rsidRPr="00BC3E16">
        <w:rPr>
          <w:rFonts w:eastAsia="Arial"/>
          <w:sz w:val="24"/>
          <w:szCs w:val="24"/>
        </w:rPr>
        <w:t xml:space="preserve">Este Termo de Referência integra a fase preparatória da contratação e deverá ser interpretado em conjunto com o Estudo Técnico Preliminar e os </w:t>
      </w:r>
      <w:r w:rsidRPr="00BC3E16">
        <w:rPr>
          <w:rFonts w:eastAsia="Arial"/>
          <w:sz w:val="24"/>
          <w:szCs w:val="24"/>
        </w:rPr>
        <w:t>demais documentos do processo. Eventuais ajustes decorrentes de exigências dos órgãos concedentes ou financiadores deverão preservar o objeto e ser formalmente registrados pela Administração.</w:t>
      </w:r>
    </w:p>
    <w:p w:rsidR="00276246" w:rsidRDefault="00BC3E16">
      <w:pPr>
        <w:spacing w:before="60" w:after="20" w:line="247" w:lineRule="auto"/>
        <w:jc w:val="right"/>
        <w:rPr>
          <w:rFonts w:eastAsia="Arial"/>
          <w:sz w:val="24"/>
          <w:szCs w:val="24"/>
        </w:rPr>
      </w:pPr>
      <w:r w:rsidRPr="00BC3E16">
        <w:rPr>
          <w:rFonts w:eastAsia="Arial"/>
          <w:sz w:val="24"/>
          <w:szCs w:val="24"/>
        </w:rPr>
        <w:t>Muliterno/RS, 10</w:t>
      </w:r>
      <w:r w:rsidRPr="00BC3E16">
        <w:rPr>
          <w:rFonts w:eastAsia="Arial"/>
          <w:sz w:val="24"/>
          <w:szCs w:val="24"/>
        </w:rPr>
        <w:t xml:space="preserve"> de </w:t>
      </w:r>
      <w:proofErr w:type="spellStart"/>
      <w:r w:rsidRPr="00BC3E16">
        <w:rPr>
          <w:rFonts w:eastAsia="Arial"/>
          <w:sz w:val="24"/>
          <w:szCs w:val="24"/>
        </w:rPr>
        <w:t>julho</w:t>
      </w:r>
      <w:proofErr w:type="spellEnd"/>
      <w:r w:rsidRPr="00BC3E16">
        <w:rPr>
          <w:rFonts w:eastAsia="Arial"/>
          <w:sz w:val="24"/>
          <w:szCs w:val="24"/>
        </w:rPr>
        <w:t xml:space="preserve"> de 2026.</w:t>
      </w:r>
    </w:p>
    <w:p w:rsidR="00BC3E16" w:rsidRPr="00BC3E16" w:rsidRDefault="00BC3E16">
      <w:pPr>
        <w:spacing w:before="60" w:after="20" w:line="247" w:lineRule="auto"/>
        <w:jc w:val="right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29"/>
        <w:gridCol w:w="4929"/>
      </w:tblGrid>
      <w:tr w:rsidR="00276246" w:rsidRPr="00BC3E16">
        <w:trPr>
          <w:cantSplit/>
          <w:jc w:val="center"/>
        </w:trPr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276246" w:rsidRPr="00BC3E16" w:rsidRDefault="00BC3E16">
            <w:pPr>
              <w:spacing w:before="40" w:after="0" w:line="240" w:lineRule="auto"/>
              <w:jc w:val="center"/>
              <w:rPr>
                <w:sz w:val="24"/>
                <w:szCs w:val="24"/>
              </w:rPr>
            </w:pPr>
            <w:r w:rsidRPr="00BC3E16">
              <w:rPr>
                <w:sz w:val="24"/>
                <w:szCs w:val="24"/>
              </w:rPr>
              <w:t>_____________________________</w:t>
            </w:r>
            <w:r w:rsidRPr="00BC3E16">
              <w:rPr>
                <w:sz w:val="24"/>
                <w:szCs w:val="24"/>
              </w:rPr>
              <w:t>___</w:t>
            </w:r>
            <w:r w:rsidRPr="00BC3E16">
              <w:rPr>
                <w:sz w:val="24"/>
                <w:szCs w:val="24"/>
              </w:rPr>
              <w:br/>
            </w:r>
            <w:r w:rsidRPr="00BC3E16">
              <w:rPr>
                <w:b/>
                <w:sz w:val="24"/>
                <w:szCs w:val="24"/>
              </w:rPr>
              <w:t>Kétrin Dauani Czyzevenski</w:t>
            </w:r>
            <w:r w:rsidRPr="00BC3E16">
              <w:rPr>
                <w:b/>
                <w:sz w:val="24"/>
                <w:szCs w:val="24"/>
              </w:rPr>
              <w:br/>
            </w:r>
            <w:r w:rsidRPr="00BC3E16">
              <w:rPr>
                <w:sz w:val="24"/>
                <w:szCs w:val="24"/>
              </w:rPr>
              <w:t>Arquiteta e Urbanista – CAU A254030-4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276246" w:rsidRPr="00BC3E16" w:rsidRDefault="00BC3E16">
            <w:pPr>
              <w:spacing w:before="40" w:after="0" w:line="240" w:lineRule="auto"/>
              <w:jc w:val="center"/>
              <w:rPr>
                <w:sz w:val="24"/>
                <w:szCs w:val="24"/>
              </w:rPr>
            </w:pPr>
            <w:r w:rsidRPr="00BC3E16">
              <w:rPr>
                <w:sz w:val="24"/>
                <w:szCs w:val="24"/>
              </w:rPr>
              <w:t>________________________________</w:t>
            </w:r>
            <w:r w:rsidRPr="00BC3E16">
              <w:rPr>
                <w:sz w:val="24"/>
                <w:szCs w:val="24"/>
              </w:rPr>
              <w:br/>
            </w:r>
            <w:r w:rsidRPr="00BC3E16">
              <w:rPr>
                <w:b/>
                <w:sz w:val="24"/>
                <w:szCs w:val="24"/>
              </w:rPr>
              <w:t>Cleucir Vidi</w:t>
            </w:r>
            <w:r w:rsidRPr="00BC3E16">
              <w:rPr>
                <w:b/>
                <w:sz w:val="24"/>
                <w:szCs w:val="24"/>
              </w:rPr>
              <w:br/>
            </w:r>
            <w:r w:rsidRPr="00BC3E16">
              <w:rPr>
                <w:sz w:val="24"/>
                <w:szCs w:val="24"/>
              </w:rPr>
              <w:t>Prefeito Municipal</w:t>
            </w:r>
          </w:p>
        </w:tc>
      </w:tr>
    </w:tbl>
    <w:p w:rsidR="00000000" w:rsidRDefault="00BC3E16"/>
    <w:sectPr w:rsidR="00000000" w:rsidSect="00BC3E16">
      <w:headerReference w:type="default" r:id="rId8"/>
      <w:footerReference w:type="default" r:id="rId9"/>
      <w:pgSz w:w="12240" w:h="15840"/>
      <w:pgMar w:top="907" w:right="1134" w:bottom="907" w:left="1701" w:header="255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0000" w:rsidRDefault="00BC3E16">
      <w:pPr>
        <w:spacing w:after="0" w:line="240" w:lineRule="auto"/>
      </w:pPr>
      <w:r>
        <w:separator/>
      </w:r>
    </w:p>
  </w:endnote>
  <w:endnote w:type="continuationSeparator" w:id="0">
    <w:p w:rsidR="00000000" w:rsidRDefault="00BC3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6246" w:rsidRDefault="00BC3E16">
    <w:pPr>
      <w:pStyle w:val="Rodap"/>
      <w:jc w:val="center"/>
    </w:pPr>
    <w:r>
      <w:rPr>
        <w:rFonts w:eastAsia="Arial"/>
        <w:i/>
        <w:sz w:val="16"/>
      </w:rPr>
      <w:t xml:space="preserve">RUA 20 DE </w:t>
    </w:r>
    <w:r>
      <w:rPr>
        <w:rFonts w:eastAsia="Arial"/>
        <w:i/>
        <w:sz w:val="16"/>
      </w:rPr>
      <w:t>MARÇO, 156 – CEP 99990-000 – FONE (54) 3386-1111 – CNPJ 92.450.998/0001-44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00000" w:rsidRDefault="00BC3E16">
      <w:pPr>
        <w:spacing w:after="0" w:line="240" w:lineRule="auto"/>
      </w:pPr>
      <w:r>
        <w:separator/>
      </w:r>
    </w:p>
  </w:footnote>
  <w:footnote w:type="continuationSeparator" w:id="0">
    <w:p w:rsidR="00000000" w:rsidRDefault="00BC3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6246" w:rsidRDefault="00BC3E16">
    <w:pPr>
      <w:pStyle w:val="Cabealho"/>
      <w:jc w:val="center"/>
    </w:pPr>
    <w:r>
      <w:rPr>
        <w:noProof/>
      </w:rPr>
      <w:drawing>
        <wp:inline distT="0" distB="0" distL="0" distR="0">
          <wp:extent cx="684000" cy="435410"/>
          <wp:effectExtent l="0" t="0" r="0" b="0"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mulitern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4000" cy="435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76246" w:rsidRDefault="00BC3E16">
    <w:pPr>
      <w:spacing w:after="0"/>
      <w:jc w:val="center"/>
    </w:pPr>
    <w:r>
      <w:rPr>
        <w:rFonts w:eastAsia="Arial"/>
        <w:b/>
        <w:sz w:val="18"/>
      </w:rPr>
      <w:t>ESTADO DO RIO GRANDE DO SUL</w:t>
    </w:r>
  </w:p>
  <w:p w:rsidR="00276246" w:rsidRDefault="00BC3E16">
    <w:pPr>
      <w:spacing w:after="60"/>
      <w:jc w:val="center"/>
    </w:pPr>
    <w:r>
      <w:rPr>
        <w:rFonts w:eastAsia="Arial"/>
        <w:b/>
        <w:sz w:val="20"/>
      </w:rPr>
      <w:t>MUNICÍPIO DE MULITERNO</w:t>
    </w:r>
  </w:p>
  <w:p w:rsidR="00276246" w:rsidRDefault="00BC3E16">
    <w:pPr>
      <w:spacing w:after="40"/>
      <w:jc w:val="center"/>
    </w:pPr>
    <w:r>
      <w:rPr>
        <w:rFonts w:eastAsia="Arial"/>
        <w:i/>
        <w:sz w:val="17"/>
      </w:rPr>
      <w:t>SECRETARIA MUNICIPAL DE OBRAS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76246"/>
    <w:rsid w:val="0029639D"/>
    <w:rsid w:val="00326F90"/>
    <w:rsid w:val="00AA1D8D"/>
    <w:rsid w:val="00B47730"/>
    <w:rsid w:val="00BC3E16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24DF4F"/>
  <w14:defaultImageDpi w14:val="300"/>
  <w15:docId w15:val="{E2FDBC1F-6EC9-462B-948A-AF2128C0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sz w:val="21"/>
    </w:r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sz w:val="21"/>
    </w:r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BC3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3E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239A23E-DBDF-435B-9F8C-916F9DD35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1602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Juridico</cp:lastModifiedBy>
  <cp:revision>2</cp:revision>
  <cp:lastPrinted>2026-07-13T13:18:00Z</cp:lastPrinted>
  <dcterms:created xsi:type="dcterms:W3CDTF">2013-12-23T23:15:00Z</dcterms:created>
  <dcterms:modified xsi:type="dcterms:W3CDTF">2026-07-13T13:34:00Z</dcterms:modified>
  <cp:category/>
</cp:coreProperties>
</file>